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239F" w14:textId="77777777" w:rsidR="007E0F29" w:rsidRPr="007D61B6" w:rsidRDefault="007E0F29" w:rsidP="007E0F29">
      <w:pPr>
        <w:spacing w:after="115" w:line="360" w:lineRule="auto"/>
        <w:jc w:val="both"/>
        <w:rPr>
          <w:rFonts w:ascii="Arial" w:hAnsi="Arial" w:cs="Arial"/>
          <w:sz w:val="28"/>
          <w:szCs w:val="28"/>
        </w:rPr>
      </w:pPr>
      <w:r w:rsidRPr="007D61B6">
        <w:rPr>
          <w:rFonts w:ascii="Arial" w:hAnsi="Arial" w:cs="Arial"/>
          <w:b/>
          <w:bCs/>
          <w:sz w:val="28"/>
          <w:szCs w:val="28"/>
        </w:rPr>
        <w:t xml:space="preserve">Neues für Radler in der Steiermark </w:t>
      </w:r>
    </w:p>
    <w:p w14:paraId="76E9851E" w14:textId="77777777" w:rsidR="007E0F29" w:rsidRPr="007D61B6" w:rsidRDefault="007E0F29" w:rsidP="007E0F29">
      <w:pPr>
        <w:spacing w:after="115" w:line="360" w:lineRule="auto"/>
        <w:jc w:val="both"/>
        <w:rPr>
          <w:rFonts w:ascii="Arial" w:hAnsi="Arial" w:cs="Arial"/>
        </w:rPr>
      </w:pPr>
      <w:r w:rsidRPr="007D61B6">
        <w:rPr>
          <w:rFonts w:ascii="Arial" w:hAnsi="Arial" w:cs="Arial"/>
          <w:b/>
          <w:bCs/>
        </w:rPr>
        <w:t xml:space="preserve">Urlaub mit dem Rad ist nachhaltig und liegt voll im Trend. Wer in der Steiermark in diesem Sommer Neues erfahren und entdecken will, genießt beim Genussradeln auf der neuen Gartentour die kulinarischen Angebote, testet die neuen Trails in der Region Schladming-Dachstein oder geht auf einer der </w:t>
      </w:r>
      <w:r w:rsidRPr="007D61B6">
        <w:rPr>
          <w:rFonts w:ascii="Arial" w:hAnsi="Arial" w:cs="Arial"/>
          <w:b/>
          <w:bCs/>
          <w:shd w:val="clear" w:color="auto" w:fill="FFFFFF"/>
        </w:rPr>
        <w:t>längsten zusammenhängenden Radstrecke der Steiermark</w:t>
      </w:r>
      <w:r w:rsidRPr="007D61B6">
        <w:rPr>
          <w:rFonts w:ascii="Arial" w:hAnsi="Arial" w:cs="Arial"/>
          <w:b/>
          <w:bCs/>
        </w:rPr>
        <w:t xml:space="preserve"> ohne Gepäck mit dem Mountainbike auf Mehrtagestour</w:t>
      </w:r>
      <w:r w:rsidRPr="007D61B6">
        <w:rPr>
          <w:rFonts w:ascii="Arial" w:hAnsi="Arial" w:cs="Arial"/>
        </w:rPr>
        <w:t xml:space="preserve">. </w:t>
      </w:r>
    </w:p>
    <w:p w14:paraId="77A4C190" w14:textId="77777777" w:rsidR="007E0F29" w:rsidRPr="007E0F29" w:rsidRDefault="007E0F29" w:rsidP="007E0F29">
      <w:pPr>
        <w:spacing w:after="115" w:line="360" w:lineRule="auto"/>
        <w:jc w:val="both"/>
        <w:rPr>
          <w:rFonts w:ascii="Arial" w:hAnsi="Arial" w:cs="Arial"/>
          <w:sz w:val="10"/>
          <w:szCs w:val="10"/>
        </w:rPr>
      </w:pPr>
    </w:p>
    <w:p w14:paraId="06A2A049" w14:textId="77777777" w:rsidR="007E0F29" w:rsidRPr="007D61B6" w:rsidRDefault="007E0F29" w:rsidP="007E0F29">
      <w:pPr>
        <w:spacing w:after="115" w:line="360" w:lineRule="auto"/>
        <w:jc w:val="both"/>
        <w:rPr>
          <w:rFonts w:ascii="Arial" w:hAnsi="Arial" w:cs="Arial"/>
          <w:b/>
          <w:bCs/>
        </w:rPr>
      </w:pPr>
      <w:r w:rsidRPr="007D61B6">
        <w:rPr>
          <w:rFonts w:ascii="Arial" w:hAnsi="Arial" w:cs="Arial"/>
          <w:b/>
          <w:bCs/>
        </w:rPr>
        <w:t>Neue Gartentour in der Oststeiermark</w:t>
      </w:r>
    </w:p>
    <w:p w14:paraId="1ADC1E89" w14:textId="064D4CDB" w:rsidR="007E0F29" w:rsidRPr="007D61B6" w:rsidRDefault="007E0F29" w:rsidP="007E0F29">
      <w:pPr>
        <w:spacing w:after="115" w:line="360" w:lineRule="auto"/>
        <w:jc w:val="both"/>
        <w:rPr>
          <w:rFonts w:ascii="Arial" w:hAnsi="Arial" w:cs="Arial"/>
        </w:rPr>
      </w:pPr>
      <w:r w:rsidRPr="007D61B6">
        <w:rPr>
          <w:rFonts w:ascii="Arial" w:hAnsi="Arial" w:cs="Arial"/>
        </w:rPr>
        <w:t xml:space="preserve">Im Garten Österreichs steht Genussradeln hoch im Kurs. Die neue </w:t>
      </w:r>
      <w:r w:rsidRPr="007D61B6">
        <w:rPr>
          <w:rFonts w:ascii="Arial" w:hAnsi="Arial" w:cs="Arial"/>
          <w:b/>
          <w:bCs/>
        </w:rPr>
        <w:t>Gartentour 1</w:t>
      </w:r>
      <w:r w:rsidRPr="007D61B6">
        <w:rPr>
          <w:rFonts w:ascii="Arial" w:hAnsi="Arial" w:cs="Arial"/>
        </w:rPr>
        <w:t xml:space="preserve"> ist die erste von sieben geplanten neuen Radtouren durch die Oststeiermark und ein gutes Beispiel, wie hier der Megatrend Radfahren mit Tourismus, Landwirtschaft und sanfter Mobilität vereint und kombiniert wird. Der 65 km lange, neu und einheitlich ausgeschilderte Rundweg führt von Hartberg über Löffelbach nach Hartl und weiter über Bad Waltersdorf und St. Johann in der Haide zurück nach Hartberg. Entlang der Tour warten acht neu errichtete Rad-Raststationen mit bequemen Sitz- und Liegemöglichkeiten. Über 50 Einkehrmöglichkeiten und Bauernläden in unmittelbarer Nähe und entlang der Strecke sorgen mit kulinarischen Schmankerln und regionalen Produkten für genussreiche Stopps. Flexible Einstiegsmöglichkeiten, optimale Verbindungen zum regionalen Radwegenetz, eine Anbindung an das mit Radträgern ausgestattete SAM Taxi sowie kostenfreie E-Bike Ladestationen auf der Strecke inklusive.</w:t>
      </w:r>
      <w:r>
        <w:rPr>
          <w:rFonts w:ascii="Arial" w:hAnsi="Arial" w:cs="Arial"/>
        </w:rPr>
        <w:t xml:space="preserve"> Infos: </w:t>
      </w:r>
      <w:hyperlink r:id="rId11" w:history="1">
        <w:r w:rsidRPr="00753D9A">
          <w:rPr>
            <w:rStyle w:val="Hyperlink"/>
            <w:rFonts w:ascii="Arial" w:hAnsi="Arial" w:cs="Arial"/>
          </w:rPr>
          <w:t>www.steiermark.com/de/Urlaub-planen/Tourenportal/NEU-Gartentour-1</w:t>
        </w:r>
      </w:hyperlink>
      <w:r w:rsidRPr="007D61B6">
        <w:rPr>
          <w:rFonts w:ascii="Arial" w:hAnsi="Arial" w:cs="Arial"/>
        </w:rPr>
        <w:t xml:space="preserve">  </w:t>
      </w:r>
    </w:p>
    <w:p w14:paraId="4E0CE452" w14:textId="77777777" w:rsidR="007E0F29" w:rsidRPr="007E0F29" w:rsidRDefault="007E0F29" w:rsidP="007E0F29">
      <w:pPr>
        <w:spacing w:after="115" w:line="360" w:lineRule="auto"/>
        <w:jc w:val="both"/>
        <w:rPr>
          <w:rFonts w:ascii="Arial" w:hAnsi="Arial" w:cs="Arial"/>
          <w:sz w:val="10"/>
          <w:szCs w:val="10"/>
        </w:rPr>
      </w:pPr>
    </w:p>
    <w:p w14:paraId="61DE28CC" w14:textId="77777777" w:rsidR="007E0F29" w:rsidRPr="007D61B6" w:rsidRDefault="007E0F29" w:rsidP="007E0F29">
      <w:pPr>
        <w:spacing w:after="115" w:line="360" w:lineRule="auto"/>
        <w:jc w:val="both"/>
        <w:rPr>
          <w:rFonts w:ascii="Arial" w:hAnsi="Arial" w:cs="Arial"/>
          <w:b/>
          <w:bCs/>
          <w:shd w:val="clear" w:color="auto" w:fill="FFFFFF"/>
        </w:rPr>
      </w:pPr>
      <w:r w:rsidRPr="007D61B6">
        <w:rPr>
          <w:rFonts w:ascii="Arial" w:hAnsi="Arial" w:cs="Arial"/>
          <w:b/>
          <w:bCs/>
          <w:shd w:val="clear" w:color="auto" w:fill="FFFFFF"/>
        </w:rPr>
        <w:t>Neuer Trail-Spaß in Schladming-Dachstein</w:t>
      </w:r>
    </w:p>
    <w:p w14:paraId="1F473D85" w14:textId="5B90B707" w:rsidR="007E0F29" w:rsidRPr="007E0F29" w:rsidRDefault="007E0F29" w:rsidP="007E0F29">
      <w:pPr>
        <w:spacing w:after="115" w:line="360" w:lineRule="auto"/>
        <w:jc w:val="both"/>
        <w:rPr>
          <w:rFonts w:ascii="Arial" w:hAnsi="Arial" w:cs="Arial"/>
          <w:shd w:val="clear" w:color="auto" w:fill="FFFFFF"/>
        </w:rPr>
      </w:pPr>
      <w:r w:rsidRPr="007D61B6">
        <w:rPr>
          <w:rFonts w:ascii="Arial" w:hAnsi="Arial" w:cs="Arial"/>
          <w:shd w:val="clear" w:color="auto" w:fill="FFFFFF"/>
        </w:rPr>
        <w:t xml:space="preserve">Im Sommer werden die Strecken im </w:t>
      </w:r>
      <w:r w:rsidRPr="007D61B6">
        <w:rPr>
          <w:rFonts w:ascii="Arial" w:hAnsi="Arial" w:cs="Arial"/>
          <w:b/>
          <w:bCs/>
          <w:shd w:val="clear" w:color="auto" w:fill="FFFFFF"/>
        </w:rPr>
        <w:t>Bikepark Planai</w:t>
      </w:r>
      <w:r w:rsidRPr="007D61B6">
        <w:rPr>
          <w:rFonts w:ascii="Arial" w:hAnsi="Arial" w:cs="Arial"/>
          <w:shd w:val="clear" w:color="auto" w:fill="FFFFFF"/>
        </w:rPr>
        <w:t xml:space="preserve"> ausgebaut.</w:t>
      </w:r>
      <w:r w:rsidRPr="007D61B6">
        <w:rPr>
          <w:rFonts w:ascii="Arial" w:hAnsi="Arial" w:cs="Arial"/>
        </w:rPr>
        <w:t xml:space="preserve"> </w:t>
      </w:r>
      <w:r w:rsidRPr="007D61B6">
        <w:rPr>
          <w:rFonts w:ascii="Arial" w:hAnsi="Arial" w:cs="Arial"/>
          <w:shd w:val="clear" w:color="auto" w:fill="FFFFFF"/>
        </w:rPr>
        <w:t xml:space="preserve">Neu darunter ist die leichte, 6,4 Kilometer lange Stadium Flowline, die ab der Mittelstation mit Wellen und Steilkurven bis ins Planai Zielstadion im Tal führt. Auch bei den </w:t>
      </w:r>
      <w:r w:rsidRPr="007D61B6">
        <w:rPr>
          <w:rFonts w:ascii="Arial" w:hAnsi="Arial" w:cs="Arial"/>
          <w:b/>
          <w:bCs/>
          <w:shd w:val="clear" w:color="auto" w:fill="FFFFFF"/>
        </w:rPr>
        <w:t>Reiteralm Trails</w:t>
      </w:r>
      <w:r w:rsidRPr="007D61B6">
        <w:rPr>
          <w:rFonts w:ascii="Arial" w:hAnsi="Arial" w:cs="Arial"/>
          <w:shd w:val="clear" w:color="auto" w:fill="FFFFFF"/>
        </w:rPr>
        <w:t xml:space="preserve"> entstehen im Laufe des Sommers drei neue, zusätzliche Lines: Der neu angelegte rund 550 Meter lange, mittelschwere Jump Trail punktet durch </w:t>
      </w:r>
      <w:r w:rsidRPr="007D61B6">
        <w:rPr>
          <w:rFonts w:ascii="Arial" w:hAnsi="Arial" w:cs="Arial"/>
          <w:shd w:val="clear" w:color="auto" w:fill="FFFFFF"/>
        </w:rPr>
        <w:lastRenderedPageBreak/>
        <w:t>seinen verspielten Charakter und ist mit vielen kleinen Sprüngen und Wellen ausgestattet. Dazu erhält der Eiskar-Trail eine weitere, 1,2 Kilometer lange, blaue (einfache) Line. Neu für Enduro-Biker: Die Trassenführung im Buckelwald-Trail.</w:t>
      </w:r>
      <w:r>
        <w:rPr>
          <w:rFonts w:ascii="Arial" w:hAnsi="Arial" w:cs="Arial"/>
          <w:shd w:val="clear" w:color="auto" w:fill="FFFFFF"/>
        </w:rPr>
        <w:t xml:space="preserve"> Infos:</w:t>
      </w:r>
      <w:r w:rsidRPr="007D61B6">
        <w:rPr>
          <w:rFonts w:ascii="Arial" w:hAnsi="Arial" w:cs="Arial"/>
          <w:shd w:val="clear" w:color="auto" w:fill="FFFFFF"/>
        </w:rPr>
        <w:t xml:space="preserve"> </w:t>
      </w:r>
      <w:hyperlink r:id="rId12" w:history="1">
        <w:r w:rsidRPr="007D61B6">
          <w:rPr>
            <w:rStyle w:val="Hyperlink"/>
            <w:rFonts w:ascii="Arial" w:hAnsi="Arial" w:cs="Arial"/>
            <w:shd w:val="clear" w:color="auto" w:fill="FFFFFF"/>
          </w:rPr>
          <w:t>www.planai.at</w:t>
        </w:r>
      </w:hyperlink>
      <w:r w:rsidRPr="007D61B6">
        <w:rPr>
          <w:rFonts w:ascii="Arial" w:hAnsi="Arial" w:cs="Arial"/>
          <w:shd w:val="clear" w:color="auto" w:fill="FFFFFF"/>
        </w:rPr>
        <w:t xml:space="preserve"> und </w:t>
      </w:r>
      <w:hyperlink r:id="rId13" w:history="1">
        <w:r w:rsidRPr="007D61B6">
          <w:rPr>
            <w:rStyle w:val="Hyperlink"/>
            <w:rFonts w:ascii="Arial" w:hAnsi="Arial" w:cs="Arial"/>
            <w:shd w:val="clear" w:color="auto" w:fill="FFFFFF"/>
          </w:rPr>
          <w:t>https://www.schladming-dachstein.at/de/Sommer/Biken/Reiteralm-Trails</w:t>
        </w:r>
      </w:hyperlink>
    </w:p>
    <w:p w14:paraId="5C15B1FB" w14:textId="77777777" w:rsidR="007E0F29" w:rsidRPr="007E0F29" w:rsidRDefault="007E0F29" w:rsidP="007E0F29">
      <w:pPr>
        <w:spacing w:after="115" w:line="360" w:lineRule="auto"/>
        <w:jc w:val="both"/>
        <w:rPr>
          <w:rFonts w:ascii="Arial" w:hAnsi="Arial" w:cs="Arial"/>
          <w:sz w:val="10"/>
          <w:szCs w:val="10"/>
        </w:rPr>
      </w:pPr>
    </w:p>
    <w:p w14:paraId="0B0FDD14" w14:textId="77777777" w:rsidR="007E0F29" w:rsidRPr="007D61B6" w:rsidRDefault="007E0F29" w:rsidP="007E0F29">
      <w:pPr>
        <w:spacing w:after="115" w:line="360" w:lineRule="auto"/>
        <w:jc w:val="both"/>
        <w:rPr>
          <w:rFonts w:ascii="Arial" w:hAnsi="Arial" w:cs="Arial"/>
          <w:b/>
          <w:bCs/>
          <w:shd w:val="clear" w:color="auto" w:fill="FFFFFF"/>
        </w:rPr>
      </w:pPr>
      <w:r w:rsidRPr="007D61B6">
        <w:rPr>
          <w:rFonts w:ascii="Arial" w:hAnsi="Arial" w:cs="Arial"/>
          <w:b/>
          <w:bCs/>
          <w:shd w:val="clear" w:color="auto" w:fill="FFFFFF"/>
        </w:rPr>
        <w:t xml:space="preserve">Der große Jogl – Etappen-Mountainbiken ohne Gepäck </w:t>
      </w:r>
    </w:p>
    <w:p w14:paraId="0D849296" w14:textId="2523F1F8" w:rsidR="007E0F29" w:rsidRPr="007E0F29" w:rsidRDefault="007E0F29" w:rsidP="007E0F29">
      <w:pPr>
        <w:spacing w:after="115" w:line="360" w:lineRule="auto"/>
        <w:jc w:val="both"/>
        <w:rPr>
          <w:rFonts w:ascii="Arial" w:hAnsi="Arial" w:cs="Arial"/>
          <w:shd w:val="clear" w:color="auto" w:fill="FFFFFF"/>
        </w:rPr>
      </w:pPr>
      <w:r w:rsidRPr="007D61B6">
        <w:rPr>
          <w:rFonts w:ascii="Arial" w:hAnsi="Arial" w:cs="Arial"/>
          <w:shd w:val="clear" w:color="auto" w:fill="FFFFFF"/>
        </w:rPr>
        <w:t xml:space="preserve">"Der große Jogl" ist mit 187 aussichtsreichen Kilometern und 5.200 Höhenmetern eine der längsten zusammenhängenden Radtouren der Steiermark und führt auf zwei Varianten durch alle elf Gemeinden der Region Joglland-Waldheimat. Aufgrund ihrer Länge ist die Tour als schwer eingestuft. Als Mehrtagestour angelegt, ist sie jedoch gut in zwei bis vier individuellen Tagesetappen, für Extremradler sogar in einer, zu absolvieren und dadurch für jeden gut machbar. So aufgeteilt bleibt entlang der Strecke genügend Zeit, den Ausblick zu genießen, die vielen </w:t>
      </w:r>
      <w:hyperlink r:id="rId14" w:tooltip="weitere Informationen zu den Ausflugszielen in der Region Joglland - Waldheimat" w:history="1">
        <w:r w:rsidRPr="007D61B6">
          <w:rPr>
            <w:rFonts w:ascii="Arial" w:hAnsi="Arial" w:cs="Arial"/>
            <w:shd w:val="clear" w:color="auto" w:fill="FFFFFF"/>
          </w:rPr>
          <w:t>Ausflugsziele</w:t>
        </w:r>
      </w:hyperlink>
      <w:r w:rsidRPr="007D61B6">
        <w:rPr>
          <w:rFonts w:ascii="Arial" w:hAnsi="Arial" w:cs="Arial"/>
          <w:shd w:val="clear" w:color="auto" w:fill="FFFFFF"/>
        </w:rPr>
        <w:t xml:space="preserve"> an der Strecke zu entdecken und sich in zahlreichen Hütten und urigen Gasthäusern zu stärken. Gefahren wird auf Wald- und Wiesenwegen, Forststraßen. Übernachtet wird in den zertifizierten Bett &amp; Bike Betrieben entlang der Strecke. Neu: Wer ohne Gewicht fahren will, bucht für seine Etappe einen Gepäcktransport. </w:t>
      </w:r>
      <w:r>
        <w:rPr>
          <w:rFonts w:ascii="Arial" w:hAnsi="Arial" w:cs="Arial"/>
          <w:shd w:val="clear" w:color="auto" w:fill="FFFFFF"/>
        </w:rPr>
        <w:t xml:space="preserve">Infos: </w:t>
      </w:r>
      <w:hyperlink r:id="rId15" w:history="1">
        <w:r w:rsidRPr="00753D9A">
          <w:rPr>
            <w:rStyle w:val="Hyperlink"/>
            <w:rFonts w:ascii="Arial" w:hAnsi="Arial" w:cs="Arial"/>
          </w:rPr>
          <w:t>https://www.joglland-waldheimat.at/aktivitaeten/radfahren/der-grosse-jogl/</w:t>
        </w:r>
      </w:hyperlink>
    </w:p>
    <w:p w14:paraId="1DB9599A" w14:textId="579B4F4D" w:rsidR="003E6D06" w:rsidRPr="007E0F29" w:rsidRDefault="003E6D06" w:rsidP="007E0F29">
      <w:pPr>
        <w:spacing w:after="115"/>
      </w:pPr>
    </w:p>
    <w:sectPr w:rsidR="003E6D06" w:rsidRPr="007E0F29" w:rsidSect="003215C4">
      <w:headerReference w:type="default" r:id="rId16"/>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8DE5" w14:textId="77777777" w:rsidR="00103D5F" w:rsidRDefault="00103D5F">
      <w:r>
        <w:separator/>
      </w:r>
    </w:p>
  </w:endnote>
  <w:endnote w:type="continuationSeparator" w:id="0">
    <w:p w14:paraId="1F2D97FE" w14:textId="77777777" w:rsidR="00103D5F" w:rsidRDefault="00103D5F">
      <w:r>
        <w:continuationSeparator/>
      </w:r>
    </w:p>
  </w:endnote>
  <w:endnote w:type="continuationNotice" w:id="1">
    <w:p w14:paraId="54767F08" w14:textId="77777777" w:rsidR="00103D5F" w:rsidRDefault="00103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6265" w14:textId="77777777" w:rsidR="00103D5F" w:rsidRDefault="00103D5F">
      <w:r>
        <w:separator/>
      </w:r>
    </w:p>
  </w:footnote>
  <w:footnote w:type="continuationSeparator" w:id="0">
    <w:p w14:paraId="5501EC1B" w14:textId="77777777" w:rsidR="00103D5F" w:rsidRDefault="00103D5F">
      <w:r>
        <w:continuationSeparator/>
      </w:r>
    </w:p>
  </w:footnote>
  <w:footnote w:type="continuationNotice" w:id="1">
    <w:p w14:paraId="328C08E2" w14:textId="77777777" w:rsidR="00103D5F" w:rsidRDefault="00103D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CA"/>
    <w:rsid w:val="000C50FC"/>
    <w:rsid w:val="000C600F"/>
    <w:rsid w:val="000C6F5D"/>
    <w:rsid w:val="000D050B"/>
    <w:rsid w:val="000D0DF5"/>
    <w:rsid w:val="000D1FE0"/>
    <w:rsid w:val="000D1FEF"/>
    <w:rsid w:val="000D2D25"/>
    <w:rsid w:val="000D64C6"/>
    <w:rsid w:val="000D7F6C"/>
    <w:rsid w:val="000E3504"/>
    <w:rsid w:val="000E4A32"/>
    <w:rsid w:val="000E5192"/>
    <w:rsid w:val="000F22CE"/>
    <w:rsid w:val="000F571E"/>
    <w:rsid w:val="000F6C3A"/>
    <w:rsid w:val="0010168F"/>
    <w:rsid w:val="00103075"/>
    <w:rsid w:val="00103D5F"/>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25B8"/>
    <w:rsid w:val="002933C3"/>
    <w:rsid w:val="00293F51"/>
    <w:rsid w:val="0029650C"/>
    <w:rsid w:val="002A1959"/>
    <w:rsid w:val="002A3C6E"/>
    <w:rsid w:val="002A7CCE"/>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1768"/>
    <w:rsid w:val="00372706"/>
    <w:rsid w:val="003767B0"/>
    <w:rsid w:val="0037756D"/>
    <w:rsid w:val="00377A6F"/>
    <w:rsid w:val="00380779"/>
    <w:rsid w:val="00382ECD"/>
    <w:rsid w:val="00383115"/>
    <w:rsid w:val="00384C8B"/>
    <w:rsid w:val="0038513A"/>
    <w:rsid w:val="00387D20"/>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FB3"/>
    <w:rsid w:val="0051494C"/>
    <w:rsid w:val="00515025"/>
    <w:rsid w:val="00524EBA"/>
    <w:rsid w:val="00530B1E"/>
    <w:rsid w:val="00530DE8"/>
    <w:rsid w:val="00531177"/>
    <w:rsid w:val="0053466B"/>
    <w:rsid w:val="00537AD2"/>
    <w:rsid w:val="005417B9"/>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0F29"/>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3605"/>
    <w:rsid w:val="00823D3C"/>
    <w:rsid w:val="00825700"/>
    <w:rsid w:val="00836F71"/>
    <w:rsid w:val="00837A26"/>
    <w:rsid w:val="00837BD9"/>
    <w:rsid w:val="00840C7A"/>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F3"/>
    <w:rsid w:val="00BD332B"/>
    <w:rsid w:val="00BD4D74"/>
    <w:rsid w:val="00BD54B3"/>
    <w:rsid w:val="00BD643E"/>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C65"/>
    <w:rsid w:val="00DC2135"/>
    <w:rsid w:val="00DC714C"/>
    <w:rsid w:val="00DD3379"/>
    <w:rsid w:val="00DD5AC9"/>
    <w:rsid w:val="00DD6825"/>
    <w:rsid w:val="00DD6993"/>
    <w:rsid w:val="00DE030C"/>
    <w:rsid w:val="00DE1A9E"/>
    <w:rsid w:val="00DE5675"/>
    <w:rsid w:val="00DF0E1C"/>
    <w:rsid w:val="00DF1444"/>
    <w:rsid w:val="00DF1687"/>
    <w:rsid w:val="00DF27ED"/>
    <w:rsid w:val="00DF627C"/>
    <w:rsid w:val="00E004E1"/>
    <w:rsid w:val="00E02436"/>
    <w:rsid w:val="00E0250D"/>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7A2C"/>
    <w:rsid w:val="00E27B80"/>
    <w:rsid w:val="00E324C0"/>
    <w:rsid w:val="00E37218"/>
    <w:rsid w:val="00E37475"/>
    <w:rsid w:val="00E40A3F"/>
    <w:rsid w:val="00E41567"/>
    <w:rsid w:val="00E42A44"/>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65188FA7-4E29-4488-9744-D602554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ladming-dachstein.at/de/Sommer/Biken/Reiteralm-Trai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nai.at/de/sommer/mountain-bike?gclid=CjwKCAjwwo-WBhAMEiwAV4dybQ-1Xmf5UOaUQi78n0n8ml6je1K3xOWm42e41lMvYyYksP09OmwGgBoCplUQAvD_Bw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iermark.com/de/Urlaub-planen/Tourenportal/NEU-Gartentour-1" TargetMode="External"/><Relationship Id="rId5" Type="http://schemas.openxmlformats.org/officeDocument/2006/relationships/numbering" Target="numbering.xml"/><Relationship Id="rId15" Type="http://schemas.openxmlformats.org/officeDocument/2006/relationships/hyperlink" Target="https://www.joglland-waldheimat.at/aktivitaeten/radfahren/der-grosse-jog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glland-waldheimat.at/ausflugszie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2.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customXml/itemProps4.xml><?xml version="1.0" encoding="utf-8"?>
<ds:datastoreItem xmlns:ds="http://schemas.openxmlformats.org/officeDocument/2006/customXml" ds:itemID="{63546EC1-97D7-43F0-83ED-D35E49B7E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FÜR KLEINE PANTHER</vt:lpstr>
    </vt:vector>
  </TitlesOfParts>
  <Manager/>
  <Company>HansmannPR</Company>
  <LinksUpToDate>false</LinksUpToDate>
  <CharactersWithSpaces>3869</CharactersWithSpaces>
  <SharedDoc>false</SharedDoc>
  <HyperlinkBase/>
  <HLinks>
    <vt:vector size="84" baseType="variant">
      <vt:variant>
        <vt:i4>5177363</vt:i4>
      </vt:variant>
      <vt:variant>
        <vt:i4>39</vt:i4>
      </vt:variant>
      <vt:variant>
        <vt:i4>0</vt:i4>
      </vt:variant>
      <vt:variant>
        <vt:i4>5</vt:i4>
      </vt:variant>
      <vt:variant>
        <vt:lpwstr>https://verkehrsauskunft.verbundlinie.at/</vt:lpwstr>
      </vt:variant>
      <vt:variant>
        <vt:lpwstr/>
      </vt:variant>
      <vt:variant>
        <vt:i4>6750249</vt:i4>
      </vt:variant>
      <vt:variant>
        <vt:i4>36</vt:i4>
      </vt:variant>
      <vt:variant>
        <vt:i4>0</vt:i4>
      </vt:variant>
      <vt:variant>
        <vt:i4>5</vt:i4>
      </vt:variant>
      <vt:variant>
        <vt:lpwstr>https://www.steiermark.com/de/urlaub/natur-und-bewegung/rad-bike/weitere-radtouren/bett-bike-betriebe?randSeed=613&amp;showMap=1&amp;zoom=8&amp;bounds%5Bsouth%5D=46.3910292111517&amp;bounds%5Bwest%5D=12.88600472313349&amp;bounds%5Bnorth%5D=48.06224096866132&amp;bounds%5Beast%5D=16.87404183250849</vt:lpwstr>
      </vt:variant>
      <vt:variant>
        <vt:lpwstr/>
      </vt:variant>
      <vt:variant>
        <vt:i4>2621549</vt:i4>
      </vt:variant>
      <vt:variant>
        <vt:i4>33</vt:i4>
      </vt:variant>
      <vt:variant>
        <vt:i4>0</vt:i4>
      </vt:variant>
      <vt:variant>
        <vt:i4>5</vt:i4>
      </vt:variant>
      <vt:variant>
        <vt:lpwstr>https://www.steiermark.com/de/unterkuenfte/steiermark-touristik</vt:lpwstr>
      </vt:variant>
      <vt:variant>
        <vt:lpwstr/>
      </vt:variant>
      <vt:variant>
        <vt:i4>8126575</vt:i4>
      </vt:variant>
      <vt:variant>
        <vt:i4>30</vt:i4>
      </vt:variant>
      <vt:variant>
        <vt:i4>0</vt:i4>
      </vt:variant>
      <vt:variant>
        <vt:i4>5</vt:i4>
      </vt:variant>
      <vt:variant>
        <vt:lpwstr>https://www.hotel-hartweger.at/aktivurlaub/kompetenz-2/</vt:lpwstr>
      </vt:variant>
      <vt:variant>
        <vt:lpwstr/>
      </vt:variant>
      <vt:variant>
        <vt:i4>6488168</vt:i4>
      </vt:variant>
      <vt:variant>
        <vt:i4>27</vt:i4>
      </vt:variant>
      <vt:variant>
        <vt:i4>0</vt:i4>
      </vt:variant>
      <vt:variant>
        <vt:i4>5</vt:i4>
      </vt:variant>
      <vt:variant>
        <vt:lpwstr>https://www.schladming-dachstein.at/de/Sommer/Biken/Dachsteinrunde</vt:lpwstr>
      </vt:variant>
      <vt:variant>
        <vt:lpwstr/>
      </vt:variant>
      <vt:variant>
        <vt:i4>3014760</vt:i4>
      </vt:variant>
      <vt:variant>
        <vt:i4>24</vt:i4>
      </vt:variant>
      <vt:variant>
        <vt:i4>0</vt:i4>
      </vt:variant>
      <vt:variant>
        <vt:i4>5</vt:i4>
      </vt:variant>
      <vt:variant>
        <vt:lpwstr>https://ennstal-ziegen.com/</vt:lpwstr>
      </vt:variant>
      <vt:variant>
        <vt:lpwstr/>
      </vt:variant>
      <vt:variant>
        <vt:i4>262239</vt:i4>
      </vt:variant>
      <vt:variant>
        <vt:i4>21</vt:i4>
      </vt:variant>
      <vt:variant>
        <vt:i4>0</vt:i4>
      </vt:variant>
      <vt:variant>
        <vt:i4>5</vt:i4>
      </vt:variant>
      <vt:variant>
        <vt:lpwstr>https://www.steiermark.com/de/ennsradweg</vt:lpwstr>
      </vt:variant>
      <vt:variant>
        <vt:lpwstr/>
      </vt:variant>
      <vt:variant>
        <vt:i4>7209006</vt:i4>
      </vt:variant>
      <vt:variant>
        <vt:i4>18</vt:i4>
      </vt:variant>
      <vt:variant>
        <vt:i4>0</vt:i4>
      </vt:variant>
      <vt:variant>
        <vt:i4>5</vt:i4>
      </vt:variant>
      <vt:variant>
        <vt:lpwstr>https://www.steiermark.com/de/murradweg</vt:lpwstr>
      </vt:variant>
      <vt:variant>
        <vt:lpwstr/>
      </vt:variant>
      <vt:variant>
        <vt:i4>8061028</vt:i4>
      </vt:variant>
      <vt:variant>
        <vt:i4>15</vt:i4>
      </vt:variant>
      <vt:variant>
        <vt:i4>0</vt:i4>
      </vt:variant>
      <vt:variant>
        <vt:i4>5</vt:i4>
      </vt:variant>
      <vt:variant>
        <vt:lpwstr>https://www.abakus-puch.at/</vt:lpwstr>
      </vt:variant>
      <vt:variant>
        <vt:lpwstr/>
      </vt:variant>
      <vt:variant>
        <vt:i4>2359329</vt:i4>
      </vt:variant>
      <vt:variant>
        <vt:i4>12</vt:i4>
      </vt:variant>
      <vt:variant>
        <vt:i4>0</vt:i4>
      </vt:variant>
      <vt:variant>
        <vt:i4>5</vt:i4>
      </vt:variant>
      <vt:variant>
        <vt:lpwstr>https://weingut-koegl.com/</vt:lpwstr>
      </vt:variant>
      <vt:variant>
        <vt:lpwstr/>
      </vt:variant>
      <vt:variant>
        <vt:i4>4587614</vt:i4>
      </vt:variant>
      <vt:variant>
        <vt:i4>9</vt:i4>
      </vt:variant>
      <vt:variant>
        <vt:i4>0</vt:i4>
      </vt:variant>
      <vt:variant>
        <vt:i4>5</vt:i4>
      </vt:variant>
      <vt:variant>
        <vt:lpwstr>http://www.walhalla-genusskulisse.at/</vt:lpwstr>
      </vt:variant>
      <vt:variant>
        <vt:lpwstr/>
      </vt:variant>
      <vt:variant>
        <vt:i4>1376324</vt:i4>
      </vt:variant>
      <vt:variant>
        <vt:i4>6</vt:i4>
      </vt:variant>
      <vt:variant>
        <vt:i4>0</vt:i4>
      </vt:variant>
      <vt:variant>
        <vt:i4>5</vt:i4>
      </vt:variant>
      <vt:variant>
        <vt:lpwstr>https://www.vomhuegel.at/</vt:lpwstr>
      </vt:variant>
      <vt:variant>
        <vt:lpwstr/>
      </vt:variant>
      <vt:variant>
        <vt:i4>8126502</vt:i4>
      </vt:variant>
      <vt:variant>
        <vt:i4>3</vt:i4>
      </vt:variant>
      <vt:variant>
        <vt:i4>0</vt:i4>
      </vt:variant>
      <vt:variant>
        <vt:i4>5</vt:i4>
      </vt:variant>
      <vt:variant>
        <vt:lpwstr>https://www.thermen-vulkanland.at/de/Urlaub/Natur-Bewegung-Aktivitaeten/Radfahren/E-Bike-Steiermark</vt:lpwstr>
      </vt:variant>
      <vt:variant>
        <vt:lpwstr/>
      </vt:variant>
      <vt:variant>
        <vt:i4>327701</vt:i4>
      </vt:variant>
      <vt:variant>
        <vt:i4>0</vt:i4>
      </vt:variant>
      <vt:variant>
        <vt:i4>0</vt:i4>
      </vt:variant>
      <vt:variant>
        <vt:i4>5</vt:i4>
      </vt:variant>
      <vt:variant>
        <vt:lpwstr>https://www.genusscard.at/de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Steiermark_Neue Wege</dc:title>
  <dc:subject/>
  <dc:creator/>
  <cp:keywords/>
  <dc:description/>
  <cp:lastModifiedBy>Barbara Schmidt - Hansmann PR</cp:lastModifiedBy>
  <cp:revision>241</cp:revision>
  <cp:lastPrinted>2018-04-09T21:12:00Z</cp:lastPrinted>
  <dcterms:created xsi:type="dcterms:W3CDTF">2021-02-24T22:58:00Z</dcterms:created>
  <dcterms:modified xsi:type="dcterms:W3CDTF">2022-07-13T12:58:00Z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